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82CBC" w14:textId="77777777" w:rsidR="003F12B1" w:rsidRPr="003F12B1" w:rsidRDefault="003F12B1" w:rsidP="003F12B1">
      <w:pPr>
        <w:pStyle w:val="Heading1"/>
        <w:jc w:val="right"/>
        <w:rPr>
          <w:lang w:val="en-US"/>
        </w:rPr>
      </w:pPr>
      <w:r w:rsidRPr="003F12B1">
        <w:rPr>
          <w:lang w:val="en-US"/>
        </w:rPr>
        <w:t xml:space="preserve">Finalists in the APS Data Awards </w:t>
      </w:r>
    </w:p>
    <w:p w14:paraId="23B910E6" w14:textId="77777777" w:rsidR="003F12B1" w:rsidRPr="003F12B1" w:rsidRDefault="003F12B1" w:rsidP="003F12B1">
      <w:pPr>
        <w:pStyle w:val="Heading2"/>
        <w:spacing w:before="160"/>
        <w:rPr>
          <w:bCs/>
          <w:sz w:val="22"/>
          <w:szCs w:val="22"/>
          <w:lang w:val="en-US"/>
        </w:rPr>
      </w:pPr>
    </w:p>
    <w:p w14:paraId="7CF2671F" w14:textId="77777777" w:rsidR="003F12B1" w:rsidRDefault="003F12B1" w:rsidP="003F12B1">
      <w:pPr>
        <w:pStyle w:val="Heading1"/>
      </w:pPr>
    </w:p>
    <w:p w14:paraId="0DCA10EA" w14:textId="1D08FD84" w:rsidR="003F12B1" w:rsidRPr="003F12B1" w:rsidRDefault="003F12B1" w:rsidP="003F12B1">
      <w:pPr>
        <w:pStyle w:val="Heading1"/>
        <w:rPr>
          <w:sz w:val="32"/>
          <w:szCs w:val="24"/>
        </w:rPr>
      </w:pPr>
      <w:r w:rsidRPr="003F12B1">
        <w:rPr>
          <w:sz w:val="32"/>
          <w:szCs w:val="24"/>
        </w:rPr>
        <w:t>Data Leadership</w:t>
      </w:r>
    </w:p>
    <w:p w14:paraId="1BF78DD1" w14:textId="77777777" w:rsidR="003F12B1" w:rsidRPr="003F12B1" w:rsidRDefault="003F12B1" w:rsidP="003F12B1">
      <w:pPr>
        <w:pStyle w:val="ListParagraph"/>
      </w:pPr>
      <w:r w:rsidRPr="003F12B1">
        <w:t xml:space="preserve">D&amp;A Capability Uplift – Smarter Data – </w:t>
      </w:r>
      <w:r w:rsidRPr="00215FDC">
        <w:rPr>
          <w:b/>
          <w:bCs/>
        </w:rPr>
        <w:t>Australian Taxation Office</w:t>
      </w:r>
    </w:p>
    <w:p w14:paraId="0308563C" w14:textId="77777777" w:rsidR="003F12B1" w:rsidRPr="003F12B1" w:rsidRDefault="003F12B1" w:rsidP="003F12B1">
      <w:pPr>
        <w:pStyle w:val="ListParagraph"/>
      </w:pPr>
      <w:r w:rsidRPr="003F12B1">
        <w:t xml:space="preserve">Civil Space Monitoring Pathfinder – </w:t>
      </w:r>
      <w:r w:rsidRPr="00215FDC">
        <w:rPr>
          <w:b/>
          <w:bCs/>
        </w:rPr>
        <w:t>Australian Space Agency</w:t>
      </w:r>
    </w:p>
    <w:p w14:paraId="5AB01FFA" w14:textId="2A955CE8" w:rsidR="003F12B1" w:rsidRPr="003F12B1" w:rsidRDefault="003F12B1" w:rsidP="003F12B1">
      <w:pPr>
        <w:pStyle w:val="ListParagraph"/>
      </w:pPr>
      <w:r w:rsidRPr="003F12B1">
        <w:t xml:space="preserve">Digital Atlas of Australia – </w:t>
      </w:r>
      <w:r w:rsidRPr="00215FDC">
        <w:rPr>
          <w:b/>
          <w:bCs/>
        </w:rPr>
        <w:t>Geoscience</w:t>
      </w:r>
    </w:p>
    <w:p w14:paraId="31C7A319" w14:textId="77777777" w:rsidR="003F12B1" w:rsidRPr="003F12B1" w:rsidRDefault="003F12B1" w:rsidP="003F12B1">
      <w:pPr>
        <w:pStyle w:val="Heading1"/>
        <w:rPr>
          <w:sz w:val="32"/>
          <w:szCs w:val="24"/>
        </w:rPr>
      </w:pPr>
      <w:bookmarkStart w:id="0" w:name="_Hlk177025954"/>
      <w:r w:rsidRPr="003F12B1">
        <w:rPr>
          <w:sz w:val="32"/>
          <w:szCs w:val="24"/>
        </w:rPr>
        <w:t xml:space="preserve">Data Sharing and Partnerships </w:t>
      </w:r>
    </w:p>
    <w:p w14:paraId="52C8B16D" w14:textId="77777777" w:rsidR="003F12B1" w:rsidRPr="003F12B1" w:rsidRDefault="003F12B1" w:rsidP="003F12B1">
      <w:pPr>
        <w:pStyle w:val="ListParagraph"/>
      </w:pPr>
      <w:r w:rsidRPr="003F12B1">
        <w:t xml:space="preserve">Agriculture Statistics Modernisation - </w:t>
      </w:r>
      <w:r w:rsidRPr="00215FDC">
        <w:rPr>
          <w:b/>
          <w:bCs/>
        </w:rPr>
        <w:t>Australian Bureau of Statistics</w:t>
      </w:r>
      <w:r w:rsidRPr="003F12B1">
        <w:t xml:space="preserve"> </w:t>
      </w:r>
    </w:p>
    <w:bookmarkEnd w:id="0"/>
    <w:p w14:paraId="784B770A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ACCC-ASIC Data Sharing Partnership through the National Anti-Scam Centre – </w:t>
      </w:r>
      <w:r w:rsidRPr="00215FDC">
        <w:rPr>
          <w:b/>
          <w:bCs/>
        </w:rPr>
        <w:t>Australian Competition &amp; Consumer Commission</w:t>
      </w:r>
    </w:p>
    <w:p w14:paraId="0222AFAD" w14:textId="77777777" w:rsidR="003F12B1" w:rsidRPr="003F12B1" w:rsidRDefault="003F12B1" w:rsidP="003F12B1">
      <w:pPr>
        <w:pStyle w:val="ListParagraph"/>
      </w:pPr>
      <w:r w:rsidRPr="003F12B1">
        <w:t xml:space="preserve">National Bushfire Boundaries Data Services – </w:t>
      </w:r>
      <w:r w:rsidRPr="00215FDC">
        <w:rPr>
          <w:b/>
          <w:bCs/>
        </w:rPr>
        <w:t>Geoscience</w:t>
      </w:r>
      <w:r w:rsidRPr="003F12B1">
        <w:t xml:space="preserve"> </w:t>
      </w:r>
    </w:p>
    <w:p w14:paraId="0BBD5AF0" w14:textId="77777777" w:rsidR="003F12B1" w:rsidRPr="003F12B1" w:rsidRDefault="003F12B1" w:rsidP="003F12B1">
      <w:pPr>
        <w:pStyle w:val="Heading1"/>
        <w:rPr>
          <w:sz w:val="32"/>
        </w:rPr>
      </w:pPr>
      <w:r w:rsidRPr="003F12B1">
        <w:rPr>
          <w:sz w:val="32"/>
        </w:rPr>
        <w:t>Data Science and Analytics</w:t>
      </w:r>
    </w:p>
    <w:p w14:paraId="7A564E57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Assessing palliative care in Australia – access, quality, and the impact on Australians - </w:t>
      </w:r>
      <w:r w:rsidRPr="00215FDC">
        <w:rPr>
          <w:b/>
          <w:bCs/>
        </w:rPr>
        <w:t>Australian Institute of Health and Welfare</w:t>
      </w:r>
    </w:p>
    <w:p w14:paraId="5C085425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International Mail Team, Data Science and Applied AI Branch – </w:t>
      </w:r>
      <w:r w:rsidRPr="00215FDC">
        <w:rPr>
          <w:b/>
          <w:bCs/>
        </w:rPr>
        <w:t>Department of Home Affairs</w:t>
      </w:r>
    </w:p>
    <w:p w14:paraId="4406D627" w14:textId="517F69B0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Demand Projection Models (DPM) &amp; Demand Driven Funding Model (DDFM) – </w:t>
      </w:r>
      <w:r w:rsidRPr="00215FDC">
        <w:rPr>
          <w:b/>
          <w:bCs/>
        </w:rPr>
        <w:t xml:space="preserve">Department of Veterans Affairs’ </w:t>
      </w:r>
    </w:p>
    <w:p w14:paraId="55525E53" w14:textId="77777777" w:rsidR="003F12B1" w:rsidRPr="003F12B1" w:rsidRDefault="003F12B1" w:rsidP="003F12B1">
      <w:pPr>
        <w:pStyle w:val="Heading1"/>
        <w:rPr>
          <w:sz w:val="32"/>
          <w:szCs w:val="24"/>
        </w:rPr>
      </w:pPr>
      <w:bookmarkStart w:id="1" w:name="_Hlk177025978"/>
      <w:r w:rsidRPr="003F12B1">
        <w:rPr>
          <w:sz w:val="32"/>
          <w:szCs w:val="24"/>
        </w:rPr>
        <w:t>Data Visualisation and Storytelling</w:t>
      </w:r>
    </w:p>
    <w:p w14:paraId="53F96CEB" w14:textId="77777777" w:rsidR="003F12B1" w:rsidRPr="003F12B1" w:rsidRDefault="003F12B1" w:rsidP="003F12B1">
      <w:pPr>
        <w:pStyle w:val="ListParagraph"/>
      </w:pPr>
      <w:r w:rsidRPr="003F12B1">
        <w:t xml:space="preserve">Bringing Data to Life with the Australian Bureau of Statistics – </w:t>
      </w:r>
      <w:r w:rsidRPr="00215FDC">
        <w:rPr>
          <w:b/>
          <w:bCs/>
        </w:rPr>
        <w:t>Australian Bureau of Statistics</w:t>
      </w:r>
      <w:r w:rsidRPr="003F12B1">
        <w:t xml:space="preserve"> </w:t>
      </w:r>
    </w:p>
    <w:p w14:paraId="22D45A40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Enhancing the availability, transparency, and use of place-based socio-economic data with the Digital Atlas – </w:t>
      </w:r>
      <w:r w:rsidRPr="00215FDC">
        <w:rPr>
          <w:b/>
          <w:bCs/>
        </w:rPr>
        <w:t>Australian Bureau of Statistics, Geoscience Australia, and Department of Social Services</w:t>
      </w:r>
    </w:p>
    <w:bookmarkEnd w:id="1"/>
    <w:p w14:paraId="47970BC9" w14:textId="77777777" w:rsidR="003F12B1" w:rsidRPr="003F12B1" w:rsidRDefault="003F12B1" w:rsidP="003F12B1">
      <w:pPr>
        <w:pStyle w:val="ListParagraph"/>
      </w:pPr>
      <w:r w:rsidRPr="003F12B1">
        <w:t xml:space="preserve">Access to </w:t>
      </w:r>
      <w:proofErr w:type="spellStart"/>
      <w:r w:rsidRPr="003F12B1">
        <w:t>BreastScreen</w:t>
      </w:r>
      <w:proofErr w:type="spellEnd"/>
      <w:r w:rsidRPr="003F12B1">
        <w:t xml:space="preserve"> Australia screening services – </w:t>
      </w:r>
      <w:r w:rsidRPr="00215FDC">
        <w:rPr>
          <w:b/>
          <w:bCs/>
        </w:rPr>
        <w:t>The Australian Institute of Health and Welfare</w:t>
      </w:r>
    </w:p>
    <w:p w14:paraId="4A0570F0" w14:textId="77777777" w:rsidR="003F12B1" w:rsidRPr="003F12B1" w:rsidRDefault="003F12B1" w:rsidP="003F12B1">
      <w:pPr>
        <w:pStyle w:val="Heading1"/>
        <w:rPr>
          <w:sz w:val="32"/>
          <w:szCs w:val="24"/>
        </w:rPr>
      </w:pPr>
      <w:bookmarkStart w:id="2" w:name="_Hlk177025997"/>
      <w:r w:rsidRPr="003F12B1">
        <w:rPr>
          <w:sz w:val="32"/>
          <w:szCs w:val="24"/>
        </w:rPr>
        <w:t>Data Engineering</w:t>
      </w:r>
    </w:p>
    <w:p w14:paraId="4DCA73FD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Australian National Data Integration Infrastructure (ANDII) - Technical delivery – </w:t>
      </w:r>
      <w:r w:rsidRPr="00215FDC">
        <w:rPr>
          <w:b/>
          <w:bCs/>
        </w:rPr>
        <w:t>Australian Bureau of Statistics, Australian Institute of Health and Welfare and Department of Social Services</w:t>
      </w:r>
    </w:p>
    <w:bookmarkEnd w:id="2"/>
    <w:p w14:paraId="6AD091B7" w14:textId="77777777" w:rsidR="003F12B1" w:rsidRPr="003F12B1" w:rsidRDefault="003F12B1" w:rsidP="003F12B1">
      <w:pPr>
        <w:pStyle w:val="ListParagraph"/>
      </w:pPr>
      <w:r w:rsidRPr="003F12B1">
        <w:t xml:space="preserve">AAP Cloud – </w:t>
      </w:r>
      <w:r w:rsidRPr="00215FDC">
        <w:rPr>
          <w:b/>
          <w:bCs/>
        </w:rPr>
        <w:t>Australian Taxation Office</w:t>
      </w:r>
      <w:r w:rsidRPr="003F12B1">
        <w:t xml:space="preserve"> </w:t>
      </w:r>
    </w:p>
    <w:p w14:paraId="3119A774" w14:textId="2320258D" w:rsidR="00215FDC" w:rsidRDefault="003F12B1" w:rsidP="003F12B1">
      <w:pPr>
        <w:pStyle w:val="ListParagraph"/>
        <w:rPr>
          <w:b/>
          <w:bCs/>
        </w:rPr>
      </w:pPr>
      <w:proofErr w:type="spellStart"/>
      <w:r w:rsidRPr="003F12B1">
        <w:t>Datathing</w:t>
      </w:r>
      <w:proofErr w:type="spellEnd"/>
      <w:r w:rsidRPr="003F12B1">
        <w:t xml:space="preserve"> – </w:t>
      </w:r>
      <w:r w:rsidRPr="00215FDC">
        <w:rPr>
          <w:b/>
          <w:bCs/>
        </w:rPr>
        <w:t xml:space="preserve">Australian Trade and Investment Commission </w:t>
      </w:r>
    </w:p>
    <w:p w14:paraId="6996D1BF" w14:textId="77777777" w:rsidR="00215FDC" w:rsidRDefault="00215FDC" w:rsidP="00215FDC">
      <w:pPr>
        <w:rPr>
          <w:b/>
          <w:bCs/>
        </w:rPr>
      </w:pPr>
    </w:p>
    <w:p w14:paraId="5CDCB13E" w14:textId="77777777" w:rsidR="00215FDC" w:rsidRPr="00215FDC" w:rsidRDefault="00215FDC" w:rsidP="00215FDC">
      <w:pPr>
        <w:rPr>
          <w:b/>
          <w:bCs/>
        </w:rPr>
      </w:pPr>
    </w:p>
    <w:p w14:paraId="67A1F413" w14:textId="36608D4E" w:rsidR="003F12B1" w:rsidRPr="003F12B1" w:rsidRDefault="003F12B1" w:rsidP="003F12B1">
      <w:pPr>
        <w:pStyle w:val="Heading1"/>
        <w:rPr>
          <w:sz w:val="32"/>
          <w:szCs w:val="24"/>
        </w:rPr>
      </w:pPr>
      <w:bookmarkStart w:id="3" w:name="_Hlk177026034"/>
      <w:r w:rsidRPr="003F12B1">
        <w:rPr>
          <w:sz w:val="32"/>
          <w:szCs w:val="24"/>
        </w:rPr>
        <w:lastRenderedPageBreak/>
        <w:t>Early Data Career</w:t>
      </w:r>
    </w:p>
    <w:p w14:paraId="4B1D7CCE" w14:textId="77777777" w:rsidR="003F12B1" w:rsidRPr="003F12B1" w:rsidRDefault="003F12B1" w:rsidP="003F12B1">
      <w:pPr>
        <w:pStyle w:val="ListParagraph"/>
      </w:pPr>
      <w:r w:rsidRPr="003F12B1">
        <w:t xml:space="preserve">Development of a Composite Indicator for Business Digital Intensity in Australia (Digital Intensity Index) – </w:t>
      </w:r>
      <w:r w:rsidRPr="00215FDC">
        <w:rPr>
          <w:b/>
          <w:bCs/>
        </w:rPr>
        <w:t>Australian Bureau of Statistics</w:t>
      </w:r>
      <w:r w:rsidRPr="003F12B1">
        <w:t xml:space="preserve"> </w:t>
      </w:r>
    </w:p>
    <w:bookmarkEnd w:id="3"/>
    <w:p w14:paraId="4549C6FF" w14:textId="77777777" w:rsidR="003F12B1" w:rsidRPr="0070257B" w:rsidRDefault="003F12B1" w:rsidP="003F12B1">
      <w:pPr>
        <w:pStyle w:val="ListParagraph"/>
        <w:rPr>
          <w:b/>
          <w:bCs/>
        </w:rPr>
      </w:pPr>
      <w:r w:rsidRPr="003F12B1">
        <w:t xml:space="preserve">Modelling of economic and fiscal benefits of increasing educational attainment levels – </w:t>
      </w:r>
      <w:r w:rsidRPr="0070257B">
        <w:rPr>
          <w:b/>
          <w:bCs/>
        </w:rPr>
        <w:t>Department of Education</w:t>
      </w:r>
    </w:p>
    <w:p w14:paraId="3A640E83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Papua New Guinea Fuel Crisis Dashboard – </w:t>
      </w:r>
      <w:r w:rsidRPr="00215FDC">
        <w:rPr>
          <w:b/>
          <w:bCs/>
        </w:rPr>
        <w:t xml:space="preserve">Department of Foreign Affairs and Trade </w:t>
      </w:r>
    </w:p>
    <w:p w14:paraId="6F19F143" w14:textId="77777777" w:rsidR="003F12B1" w:rsidRPr="003F12B1" w:rsidRDefault="003F12B1" w:rsidP="003F12B1">
      <w:pPr>
        <w:pStyle w:val="Heading1"/>
        <w:rPr>
          <w:sz w:val="32"/>
          <w:szCs w:val="24"/>
        </w:rPr>
      </w:pPr>
      <w:r w:rsidRPr="003F12B1">
        <w:rPr>
          <w:sz w:val="32"/>
          <w:szCs w:val="24"/>
        </w:rPr>
        <w:t>Diversity and Inclusion in Data</w:t>
      </w:r>
    </w:p>
    <w:p w14:paraId="51498F60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Health of refugees and humanitarian entrants in Australia – </w:t>
      </w:r>
      <w:r w:rsidRPr="00215FDC">
        <w:rPr>
          <w:b/>
          <w:bCs/>
        </w:rPr>
        <w:t>The Australian Institute of Health and Welfare</w:t>
      </w:r>
    </w:p>
    <w:p w14:paraId="0E0E2F6B" w14:textId="77777777" w:rsidR="003F12B1" w:rsidRPr="003F12B1" w:rsidRDefault="003F12B1" w:rsidP="003F12B1">
      <w:pPr>
        <w:pStyle w:val="ListParagraph"/>
      </w:pPr>
      <w:r w:rsidRPr="003F12B1">
        <w:t xml:space="preserve">First national survey on dementia awareness – </w:t>
      </w:r>
      <w:r w:rsidRPr="00215FDC">
        <w:rPr>
          <w:b/>
          <w:bCs/>
        </w:rPr>
        <w:t>Australian Institute of Health and Welfare</w:t>
      </w:r>
    </w:p>
    <w:p w14:paraId="513DD1AB" w14:textId="77777777" w:rsidR="003F12B1" w:rsidRPr="003F12B1" w:rsidRDefault="003F12B1" w:rsidP="003F12B1">
      <w:pPr>
        <w:pStyle w:val="ListParagraph"/>
      </w:pPr>
      <w:r w:rsidRPr="003F12B1">
        <w:t xml:space="preserve">Framework for Governance of Indigenous Data (GID) – </w:t>
      </w:r>
      <w:r w:rsidRPr="00215FDC">
        <w:rPr>
          <w:b/>
          <w:bCs/>
        </w:rPr>
        <w:t>National Indigenous Australians Agency</w:t>
      </w:r>
      <w:r w:rsidRPr="003F12B1">
        <w:t xml:space="preserve"> </w:t>
      </w:r>
    </w:p>
    <w:p w14:paraId="0C5EE15E" w14:textId="77777777" w:rsidR="003F12B1" w:rsidRPr="003F12B1" w:rsidRDefault="003F12B1" w:rsidP="003F12B1">
      <w:pPr>
        <w:pStyle w:val="Heading1"/>
        <w:rPr>
          <w:sz w:val="32"/>
          <w:szCs w:val="24"/>
        </w:rPr>
      </w:pPr>
      <w:bookmarkStart w:id="4" w:name="_Hlk177026057"/>
      <w:r w:rsidRPr="003F12B1">
        <w:rPr>
          <w:sz w:val="32"/>
          <w:szCs w:val="24"/>
        </w:rPr>
        <w:t>Innovative, Ethical and Responsible Use of Artificial Intelligence (AI)</w:t>
      </w:r>
    </w:p>
    <w:p w14:paraId="2EF886A0" w14:textId="77777777" w:rsidR="003F12B1" w:rsidRPr="003F12B1" w:rsidRDefault="003F12B1" w:rsidP="003F12B1">
      <w:pPr>
        <w:pStyle w:val="ListParagraph"/>
      </w:pPr>
      <w:r w:rsidRPr="003F12B1">
        <w:t xml:space="preserve">ANZSCO Review Innovations Team – </w:t>
      </w:r>
      <w:r w:rsidRPr="00215FDC">
        <w:rPr>
          <w:b/>
          <w:bCs/>
        </w:rPr>
        <w:t>Australian Bureau of Statistics</w:t>
      </w:r>
      <w:r w:rsidRPr="003F12B1">
        <w:t xml:space="preserve"> </w:t>
      </w:r>
    </w:p>
    <w:bookmarkEnd w:id="4"/>
    <w:p w14:paraId="0F5179CD" w14:textId="77777777" w:rsidR="003F12B1" w:rsidRPr="00215FDC" w:rsidRDefault="003F12B1" w:rsidP="003F12B1">
      <w:pPr>
        <w:pStyle w:val="ListParagraph"/>
        <w:rPr>
          <w:b/>
          <w:bCs/>
        </w:rPr>
      </w:pPr>
      <w:r w:rsidRPr="003F12B1">
        <w:t xml:space="preserve">Australian Taxation Office (ATO) Generative AI Working Group – </w:t>
      </w:r>
      <w:r w:rsidRPr="00215FDC">
        <w:rPr>
          <w:b/>
          <w:bCs/>
        </w:rPr>
        <w:t xml:space="preserve">Australian Taxation Office </w:t>
      </w:r>
    </w:p>
    <w:p w14:paraId="43BA6080" w14:textId="77777777" w:rsidR="003F12B1" w:rsidRPr="003F12B1" w:rsidRDefault="003F12B1" w:rsidP="003F12B1">
      <w:pPr>
        <w:pStyle w:val="ListParagraph"/>
      </w:pPr>
      <w:r w:rsidRPr="003F12B1">
        <w:t xml:space="preserve">Digital Delivery Capability - Innovation Team – </w:t>
      </w:r>
      <w:r w:rsidRPr="0072640E">
        <w:rPr>
          <w:b/>
          <w:bCs/>
        </w:rPr>
        <w:t>Department of Employment and Workplace Relations</w:t>
      </w:r>
    </w:p>
    <w:p w14:paraId="38A4E8E1" w14:textId="5C0D03D0" w:rsidR="009A1699" w:rsidRPr="003F12B1" w:rsidRDefault="009A1699" w:rsidP="003F12B1">
      <w:pPr>
        <w:pStyle w:val="Heading2"/>
        <w:spacing w:before="160" w:line="240" w:lineRule="auto"/>
        <w:rPr>
          <w:sz w:val="22"/>
          <w:szCs w:val="22"/>
          <w:lang w:val="en-US"/>
        </w:rPr>
      </w:pPr>
    </w:p>
    <w:sectPr w:rsidR="009A1699" w:rsidRPr="003F12B1" w:rsidSect="009E03A7">
      <w:headerReference w:type="default" r:id="rId8"/>
      <w:headerReference w:type="first" r:id="rId9"/>
      <w:pgSz w:w="11906" w:h="16838"/>
      <w:pgMar w:top="1021" w:right="1247" w:bottom="1247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E75E3" w14:textId="77777777" w:rsidR="00F401F4" w:rsidRDefault="00F401F4" w:rsidP="00CE2A6D">
      <w:pPr>
        <w:spacing w:after="0" w:line="240" w:lineRule="auto"/>
      </w:pPr>
      <w:r>
        <w:separator/>
      </w:r>
    </w:p>
  </w:endnote>
  <w:endnote w:type="continuationSeparator" w:id="0">
    <w:p w14:paraId="244219B4" w14:textId="77777777" w:rsidR="00F401F4" w:rsidRDefault="00F401F4" w:rsidP="00CE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7E968" w14:textId="77777777" w:rsidR="00F401F4" w:rsidRDefault="00F401F4" w:rsidP="00CE2A6D">
      <w:pPr>
        <w:spacing w:after="0" w:line="240" w:lineRule="auto"/>
      </w:pPr>
      <w:r>
        <w:separator/>
      </w:r>
    </w:p>
  </w:footnote>
  <w:footnote w:type="continuationSeparator" w:id="0">
    <w:p w14:paraId="546695A5" w14:textId="77777777" w:rsidR="00F401F4" w:rsidRDefault="00F401F4" w:rsidP="00CE2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38D5" w14:textId="781B1A00" w:rsidR="006942F7" w:rsidRDefault="006942F7">
    <w:r>
      <w:rPr>
        <w:noProof/>
      </w:rPr>
      <w:drawing>
        <wp:anchor distT="0" distB="0" distL="114300" distR="114300" simplePos="0" relativeHeight="251662336" behindDoc="1" locked="0" layoutInCell="1" allowOverlap="1" wp14:anchorId="3B8D7B2A" wp14:editId="42C1572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71396350" name="Picture 14713963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087131" name="Picture 8330871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365F" w14:textId="368E6967" w:rsidR="009E03A7" w:rsidRDefault="009E03A7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0" wp14:anchorId="488E08EA" wp14:editId="1F4E3D35">
          <wp:simplePos x="0" y="0"/>
          <wp:positionH relativeFrom="page">
            <wp:align>left</wp:align>
          </wp:positionH>
          <wp:positionV relativeFrom="page">
            <wp:posOffset>-314325</wp:posOffset>
          </wp:positionV>
          <wp:extent cx="7560000" cy="10692000"/>
          <wp:effectExtent l="0" t="0" r="3175" b="0"/>
          <wp:wrapNone/>
          <wp:docPr id="1360236499" name="Graphic 7" descr="A black screen with colorful circ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862405" name="Graphic 7" descr="A black screen with colorful circl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6049"/>
    <w:multiLevelType w:val="hybridMultilevel"/>
    <w:tmpl w:val="53DC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00BD1"/>
    <w:multiLevelType w:val="hybridMultilevel"/>
    <w:tmpl w:val="5BCE4A6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61FBB"/>
    <w:multiLevelType w:val="hybridMultilevel"/>
    <w:tmpl w:val="FFE22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C52"/>
    <w:multiLevelType w:val="hybridMultilevel"/>
    <w:tmpl w:val="EC786F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30E95"/>
    <w:multiLevelType w:val="hybridMultilevel"/>
    <w:tmpl w:val="649AB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716E7"/>
    <w:multiLevelType w:val="hybridMultilevel"/>
    <w:tmpl w:val="3B1868E6"/>
    <w:lvl w:ilvl="0" w:tplc="6E6EE2D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F638D"/>
    <w:multiLevelType w:val="hybridMultilevel"/>
    <w:tmpl w:val="C0620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A16B6"/>
    <w:multiLevelType w:val="hybridMultilevel"/>
    <w:tmpl w:val="F2C87C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42591"/>
    <w:multiLevelType w:val="hybridMultilevel"/>
    <w:tmpl w:val="FED4CC2A"/>
    <w:lvl w:ilvl="0" w:tplc="9306DC92">
      <w:start w:val="1"/>
      <w:numFmt w:val="bullet"/>
      <w:pStyle w:val="ListParagraph"/>
      <w:lvlText w:val=""/>
      <w:lvlJc w:val="left"/>
      <w:pPr>
        <w:ind w:left="729" w:hanging="360"/>
      </w:pPr>
      <w:rPr>
        <w:rFonts w:ascii="Wingdings" w:hAnsi="Wingdings" w:hint="default"/>
        <w:color w:val="ED247C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4670A8"/>
    <w:multiLevelType w:val="hybridMultilevel"/>
    <w:tmpl w:val="FB28F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97ED2"/>
    <w:multiLevelType w:val="hybridMultilevel"/>
    <w:tmpl w:val="1C8813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1B5985"/>
    <w:multiLevelType w:val="hybridMultilevel"/>
    <w:tmpl w:val="2CBC7C4E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783375928">
    <w:abstractNumId w:val="4"/>
  </w:num>
  <w:num w:numId="2" w16cid:durableId="112331933">
    <w:abstractNumId w:val="5"/>
  </w:num>
  <w:num w:numId="3" w16cid:durableId="1850026065">
    <w:abstractNumId w:val="10"/>
  </w:num>
  <w:num w:numId="4" w16cid:durableId="2140801093">
    <w:abstractNumId w:val="11"/>
  </w:num>
  <w:num w:numId="5" w16cid:durableId="1591236107">
    <w:abstractNumId w:val="2"/>
  </w:num>
  <w:num w:numId="6" w16cid:durableId="759721168">
    <w:abstractNumId w:val="3"/>
  </w:num>
  <w:num w:numId="7" w16cid:durableId="613638405">
    <w:abstractNumId w:val="6"/>
  </w:num>
  <w:num w:numId="8" w16cid:durableId="976186814">
    <w:abstractNumId w:val="9"/>
  </w:num>
  <w:num w:numId="9" w16cid:durableId="102918143">
    <w:abstractNumId w:val="7"/>
  </w:num>
  <w:num w:numId="10" w16cid:durableId="1233277777">
    <w:abstractNumId w:val="1"/>
  </w:num>
  <w:num w:numId="11" w16cid:durableId="53629980">
    <w:abstractNumId w:val="8"/>
  </w:num>
  <w:num w:numId="12" w16cid:durableId="162552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11"/>
    <w:rsid w:val="00021BCC"/>
    <w:rsid w:val="0003084B"/>
    <w:rsid w:val="00054C70"/>
    <w:rsid w:val="00071CEB"/>
    <w:rsid w:val="00072E71"/>
    <w:rsid w:val="0007584A"/>
    <w:rsid w:val="00084DCF"/>
    <w:rsid w:val="00085721"/>
    <w:rsid w:val="000950A9"/>
    <w:rsid w:val="000A043A"/>
    <w:rsid w:val="000A1292"/>
    <w:rsid w:val="000C1837"/>
    <w:rsid w:val="000C1DD8"/>
    <w:rsid w:val="000E59E1"/>
    <w:rsid w:val="000F5C05"/>
    <w:rsid w:val="00110EF4"/>
    <w:rsid w:val="0011148E"/>
    <w:rsid w:val="0011161A"/>
    <w:rsid w:val="00114D72"/>
    <w:rsid w:val="00126024"/>
    <w:rsid w:val="00170548"/>
    <w:rsid w:val="00173018"/>
    <w:rsid w:val="0019676E"/>
    <w:rsid w:val="001B0C7A"/>
    <w:rsid w:val="00203E67"/>
    <w:rsid w:val="00205C23"/>
    <w:rsid w:val="00215C11"/>
    <w:rsid w:val="00215FDC"/>
    <w:rsid w:val="0024263A"/>
    <w:rsid w:val="00243395"/>
    <w:rsid w:val="00264F08"/>
    <w:rsid w:val="0026776E"/>
    <w:rsid w:val="00274BCC"/>
    <w:rsid w:val="00297B4C"/>
    <w:rsid w:val="002A33C2"/>
    <w:rsid w:val="002C4B7C"/>
    <w:rsid w:val="002C5D6C"/>
    <w:rsid w:val="002D3023"/>
    <w:rsid w:val="002E1AC6"/>
    <w:rsid w:val="002F3955"/>
    <w:rsid w:val="00342889"/>
    <w:rsid w:val="00350A58"/>
    <w:rsid w:val="00350A83"/>
    <w:rsid w:val="00353ADD"/>
    <w:rsid w:val="00364AF1"/>
    <w:rsid w:val="00385653"/>
    <w:rsid w:val="003A2E2B"/>
    <w:rsid w:val="003A7811"/>
    <w:rsid w:val="003B29A1"/>
    <w:rsid w:val="003B7547"/>
    <w:rsid w:val="003C7FA4"/>
    <w:rsid w:val="003D3C0D"/>
    <w:rsid w:val="003F0A70"/>
    <w:rsid w:val="003F12B1"/>
    <w:rsid w:val="00433A1F"/>
    <w:rsid w:val="0044121C"/>
    <w:rsid w:val="00447C5E"/>
    <w:rsid w:val="004561B0"/>
    <w:rsid w:val="004766D6"/>
    <w:rsid w:val="0048356A"/>
    <w:rsid w:val="004A588E"/>
    <w:rsid w:val="004D105D"/>
    <w:rsid w:val="004D3550"/>
    <w:rsid w:val="005274BA"/>
    <w:rsid w:val="005330CF"/>
    <w:rsid w:val="00552A85"/>
    <w:rsid w:val="00581BE5"/>
    <w:rsid w:val="00591053"/>
    <w:rsid w:val="005C65C5"/>
    <w:rsid w:val="005E68C1"/>
    <w:rsid w:val="005F34AA"/>
    <w:rsid w:val="00622702"/>
    <w:rsid w:val="006258FD"/>
    <w:rsid w:val="00635D5D"/>
    <w:rsid w:val="00652B4E"/>
    <w:rsid w:val="00663DF3"/>
    <w:rsid w:val="00674006"/>
    <w:rsid w:val="00680B26"/>
    <w:rsid w:val="00693520"/>
    <w:rsid w:val="006942F7"/>
    <w:rsid w:val="00695AC5"/>
    <w:rsid w:val="006A044E"/>
    <w:rsid w:val="006A66B3"/>
    <w:rsid w:val="006D5212"/>
    <w:rsid w:val="006D772E"/>
    <w:rsid w:val="0070257B"/>
    <w:rsid w:val="0072480C"/>
    <w:rsid w:val="0072640E"/>
    <w:rsid w:val="007306D5"/>
    <w:rsid w:val="00753632"/>
    <w:rsid w:val="00753C65"/>
    <w:rsid w:val="007634F4"/>
    <w:rsid w:val="0077737C"/>
    <w:rsid w:val="007B00B0"/>
    <w:rsid w:val="007B422C"/>
    <w:rsid w:val="007B7999"/>
    <w:rsid w:val="007C72ED"/>
    <w:rsid w:val="007F12B4"/>
    <w:rsid w:val="00810642"/>
    <w:rsid w:val="008150E4"/>
    <w:rsid w:val="00817243"/>
    <w:rsid w:val="00827DDC"/>
    <w:rsid w:val="00836B93"/>
    <w:rsid w:val="00854C06"/>
    <w:rsid w:val="008668CD"/>
    <w:rsid w:val="00875A73"/>
    <w:rsid w:val="00875B27"/>
    <w:rsid w:val="00883354"/>
    <w:rsid w:val="0089163A"/>
    <w:rsid w:val="008B1825"/>
    <w:rsid w:val="008B2AFC"/>
    <w:rsid w:val="008B7ABB"/>
    <w:rsid w:val="008C1DC2"/>
    <w:rsid w:val="008C6D64"/>
    <w:rsid w:val="008E7EE9"/>
    <w:rsid w:val="008F699B"/>
    <w:rsid w:val="009125FB"/>
    <w:rsid w:val="00917449"/>
    <w:rsid w:val="009368ED"/>
    <w:rsid w:val="0099147C"/>
    <w:rsid w:val="009A0436"/>
    <w:rsid w:val="009A1699"/>
    <w:rsid w:val="009B1642"/>
    <w:rsid w:val="009E03A7"/>
    <w:rsid w:val="009E5667"/>
    <w:rsid w:val="00A16970"/>
    <w:rsid w:val="00A636F4"/>
    <w:rsid w:val="00A67067"/>
    <w:rsid w:val="00AA4F76"/>
    <w:rsid w:val="00AA7942"/>
    <w:rsid w:val="00AD2051"/>
    <w:rsid w:val="00AD7997"/>
    <w:rsid w:val="00AE1536"/>
    <w:rsid w:val="00AE6C30"/>
    <w:rsid w:val="00B00D17"/>
    <w:rsid w:val="00B07637"/>
    <w:rsid w:val="00B11967"/>
    <w:rsid w:val="00B20177"/>
    <w:rsid w:val="00B26663"/>
    <w:rsid w:val="00B64C83"/>
    <w:rsid w:val="00B665CC"/>
    <w:rsid w:val="00B775C7"/>
    <w:rsid w:val="00B81954"/>
    <w:rsid w:val="00BB01F1"/>
    <w:rsid w:val="00BD0A14"/>
    <w:rsid w:val="00BD56E5"/>
    <w:rsid w:val="00C04139"/>
    <w:rsid w:val="00C06EE9"/>
    <w:rsid w:val="00C2158A"/>
    <w:rsid w:val="00C26D7B"/>
    <w:rsid w:val="00C82759"/>
    <w:rsid w:val="00C974C4"/>
    <w:rsid w:val="00CD2FCB"/>
    <w:rsid w:val="00CE2A6D"/>
    <w:rsid w:val="00D0164B"/>
    <w:rsid w:val="00D10B15"/>
    <w:rsid w:val="00D4051A"/>
    <w:rsid w:val="00D82894"/>
    <w:rsid w:val="00DA3F15"/>
    <w:rsid w:val="00DE4E71"/>
    <w:rsid w:val="00E2236B"/>
    <w:rsid w:val="00E32520"/>
    <w:rsid w:val="00E55FAC"/>
    <w:rsid w:val="00E56826"/>
    <w:rsid w:val="00E71CB2"/>
    <w:rsid w:val="00E73349"/>
    <w:rsid w:val="00E85F39"/>
    <w:rsid w:val="00E86B9F"/>
    <w:rsid w:val="00E87D3A"/>
    <w:rsid w:val="00E950D5"/>
    <w:rsid w:val="00EA4A64"/>
    <w:rsid w:val="00EA4FFE"/>
    <w:rsid w:val="00EC0A64"/>
    <w:rsid w:val="00ED0305"/>
    <w:rsid w:val="00F3418D"/>
    <w:rsid w:val="00F401F4"/>
    <w:rsid w:val="00F83012"/>
    <w:rsid w:val="00F87B79"/>
    <w:rsid w:val="00FE0A87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360D04"/>
  <w15:docId w15:val="{5AC28CE4-1636-4DFF-8FB4-43A496C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51A"/>
  </w:style>
  <w:style w:type="paragraph" w:styleId="Heading1">
    <w:name w:val="heading 1"/>
    <w:basedOn w:val="Normal"/>
    <w:next w:val="Normal"/>
    <w:link w:val="Heading1Char"/>
    <w:uiPriority w:val="9"/>
    <w:qFormat/>
    <w:rsid w:val="005330CF"/>
    <w:pPr>
      <w:keepNext/>
      <w:keepLines/>
      <w:spacing w:before="400" w:after="0" w:line="240" w:lineRule="auto"/>
      <w:outlineLvl w:val="0"/>
    </w:pPr>
    <w:rPr>
      <w:rFonts w:eastAsiaTheme="majorEastAsia" w:cstheme="majorBidi"/>
      <w:b/>
      <w:color w:val="002D3D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330CF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rsid w:val="00447C5E"/>
    <w:pPr>
      <w:keepNext/>
      <w:keepLines/>
      <w:spacing w:before="40" w:after="0"/>
      <w:outlineLvl w:val="2"/>
    </w:pPr>
    <w:rPr>
      <w:rFonts w:eastAsiaTheme="majorEastAsia" w:cstheme="majorBidi"/>
      <w:i/>
      <w:color w:val="2756A6"/>
      <w:sz w:val="28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95AC5"/>
    <w:pPr>
      <w:numPr>
        <w:numId w:val="11"/>
      </w:numPr>
      <w:ind w:left="567" w:hanging="340"/>
      <w:contextualSpacing/>
    </w:pPr>
  </w:style>
  <w:style w:type="table" w:styleId="TableGrid">
    <w:name w:val="Table Grid"/>
    <w:basedOn w:val="TableNormal"/>
    <w:uiPriority w:val="39"/>
    <w:rsid w:val="00883354"/>
    <w:pPr>
      <w:spacing w:before="20" w:after="20" w:line="240" w:lineRule="auto"/>
    </w:pPr>
    <w:tblPr>
      <w:tblBorders>
        <w:top w:val="single" w:sz="2" w:space="0" w:color="002D3D"/>
        <w:left w:val="single" w:sz="2" w:space="0" w:color="002D3D"/>
        <w:bottom w:val="single" w:sz="2" w:space="0" w:color="002D3D"/>
        <w:right w:val="single" w:sz="2" w:space="0" w:color="002D3D"/>
        <w:insideH w:val="single" w:sz="2" w:space="0" w:color="002D3D"/>
        <w:insideV w:val="single" w:sz="2" w:space="0" w:color="002D3D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  <w:sz w:val="24"/>
      </w:rPr>
      <w:tblPr/>
      <w:tcPr>
        <w:shd w:val="clear" w:color="auto" w:fill="002D3D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B0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C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0C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C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665CC"/>
    <w:rPr>
      <w:color w:val="2756A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C3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E2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A6D"/>
  </w:style>
  <w:style w:type="paragraph" w:customStyle="1" w:styleId="H1">
    <w:name w:val="H1"/>
    <w:basedOn w:val="Normal"/>
    <w:uiPriority w:val="99"/>
    <w:rsid w:val="007306D5"/>
    <w:pPr>
      <w:autoSpaceDE w:val="0"/>
      <w:autoSpaceDN w:val="0"/>
      <w:adjustRightInd w:val="0"/>
      <w:spacing w:after="0" w:line="800" w:lineRule="atLeast"/>
      <w:textAlignment w:val="center"/>
    </w:pPr>
    <w:rPr>
      <w:rFonts w:ascii="Montserrat ExtraBold" w:hAnsi="Montserrat ExtraBold" w:cs="Montserrat ExtraBold"/>
      <w:b/>
      <w:bCs/>
      <w:color w:val="000000"/>
      <w:sz w:val="80"/>
      <w:szCs w:val="8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330CF"/>
    <w:rPr>
      <w:rFonts w:eastAsiaTheme="majorEastAsia" w:cstheme="majorBidi"/>
      <w:b/>
      <w:color w:val="002D3D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5AC5"/>
    <w:rPr>
      <w:rFonts w:eastAsiaTheme="majorEastAsia" w:cstheme="majorBidi"/>
      <w:b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7C5E"/>
    <w:rPr>
      <w:rFonts w:eastAsiaTheme="majorEastAsia" w:cstheme="majorBidi"/>
      <w:i/>
      <w:color w:val="2756A6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695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AC5"/>
  </w:style>
  <w:style w:type="paragraph" w:styleId="Revision">
    <w:name w:val="Revision"/>
    <w:hidden/>
    <w:uiPriority w:val="99"/>
    <w:semiHidden/>
    <w:rsid w:val="00DE4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4BB28-DA0E-4CFA-8D4F-72BC8DDA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Bureau of Statistics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Messer</dc:creator>
  <cp:keywords/>
  <dc:description/>
  <cp:lastModifiedBy>Hannah James</cp:lastModifiedBy>
  <cp:revision>2</cp:revision>
  <cp:lastPrinted>2023-02-17T00:58:00Z</cp:lastPrinted>
  <dcterms:created xsi:type="dcterms:W3CDTF">2024-09-11T23:54:00Z</dcterms:created>
  <dcterms:modified xsi:type="dcterms:W3CDTF">2024-09-11T23:54:00Z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e5a7ee-c283-40b0-98eb-fa437df4c031_Enabled">
    <vt:lpwstr>true</vt:lpwstr>
  </property>
  <property fmtid="{D5CDD505-2E9C-101B-9397-08002B2CF9AE}" pid="3" name="MSIP_Label_c8e5a7ee-c283-40b0-98eb-fa437df4c031_SetDate">
    <vt:lpwstr>2023-01-10T05:52:04Z</vt:lpwstr>
  </property>
  <property fmtid="{D5CDD505-2E9C-101B-9397-08002B2CF9AE}" pid="4" name="MSIP_Label_c8e5a7ee-c283-40b0-98eb-fa437df4c031_Method">
    <vt:lpwstr>Privileged</vt:lpwstr>
  </property>
  <property fmtid="{D5CDD505-2E9C-101B-9397-08002B2CF9AE}" pid="5" name="MSIP_Label_c8e5a7ee-c283-40b0-98eb-fa437df4c031_Name">
    <vt:lpwstr>OFFICIAL</vt:lpwstr>
  </property>
  <property fmtid="{D5CDD505-2E9C-101B-9397-08002B2CF9AE}" pid="6" name="MSIP_Label_c8e5a7ee-c283-40b0-98eb-fa437df4c031_SiteId">
    <vt:lpwstr>34cdb737-c4fa-4c21-9a34-88ac2d721f88</vt:lpwstr>
  </property>
  <property fmtid="{D5CDD505-2E9C-101B-9397-08002B2CF9AE}" pid="7" name="MSIP_Label_c8e5a7ee-c283-40b0-98eb-fa437df4c031_ActionId">
    <vt:lpwstr>80ff30dd-1a9a-4524-8cb5-806b6f7a390e</vt:lpwstr>
  </property>
  <property fmtid="{D5CDD505-2E9C-101B-9397-08002B2CF9AE}" pid="8" name="MSIP_Label_c8e5a7ee-c283-40b0-98eb-fa437df4c031_ContentBits">
    <vt:lpwstr>0</vt:lpwstr>
  </property>
</Properties>
</file>